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240"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Счет-оферта подлежит полной оплате, частичная оплата не принимается.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spacing w:before="240"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 </w:t>
      </w:r>
      <w:r>
        <w:rPr>
          <w:rFonts w:ascii="Calibri" w:hAnsi="Calibri" w:eastAsia="Times New Roman" w:cs="Calibri"/>
          <w:color w:val="000000"/>
          <w:lang w:eastAsia="ru-RU"/>
        </w:rPr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7134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Исполнитель:</w:t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lang w:eastAsia="ru-RU"/>
              </w:rPr>
              <w:t xml:space="preserve">АНО ДПО "УЦ ИБС"</w:t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Место нахождения:</w:t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Почтовый адрес:</w:t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ИНН:</w:t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lang w:eastAsia="ru-RU"/>
              </w:rPr>
              <w:t xml:space="preserve">7713388004</w:t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КПП:</w:t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Расч. счет:</w:t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Корр. счет:</w:t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 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jc w:val="center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Счет-оферта №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_______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___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 от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______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jc w:val="center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 </w:t>
      </w:r>
      <w:r>
        <w:rPr>
          <w:rFonts w:ascii="Calibri" w:hAnsi="Calibri" w:eastAsia="Times New Roman" w:cs="Calibri"/>
          <w:color w:val="000000"/>
          <w:lang w:eastAsia="ru-RU"/>
        </w:rPr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1375"/>
        <w:gridCol w:w="1230"/>
        <w:gridCol w:w="1052"/>
        <w:gridCol w:w="1251"/>
        <w:gridCol w:w="1053"/>
        <w:gridCol w:w="1145"/>
        <w:gridCol w:w="719"/>
        <w:gridCol w:w="873"/>
      </w:tblGrid>
      <w:tr>
        <w:tblPrEx/>
        <w:trPr/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Заказчик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/Обучающийся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:</w:t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</w:tc>
        <w:tc>
          <w:tcPr>
            <w:gridSpan w:val="7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2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Место нахождения:</w:t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  <w:p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Электронный адрес:</w:t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23" w:type="dxa"/>
            <w:textDirection w:val="lrTb"/>
            <w:noWrap w:val="false"/>
          </w:tcPr>
          <w:p>
            <w:pPr>
              <w:spacing w:line="235" w:lineRule="atLeast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Телефон обучающегося:</w:t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2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Дата рождения</w:t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  <w:p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обучающегося:</w:t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2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СНИЛС</w:t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  <w:p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обучающегося:</w:t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32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</w:tc>
      </w:tr>
      <w:tr>
        <w:tblPrEx/>
        <w:trPr>
          <w:trHeight w:val="55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Код курса</w:t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0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Количество обучающихся</w:t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Объем услуг (кол-во акад.часов)</w:t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Дата оказания услуги</w:t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Время проведения</w:t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Форма обучения</w:t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Формат обучения</w:t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Цена, руб.</w:t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Сумма, руб.</w:t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0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</w:tc>
      </w:tr>
      <w:tr>
        <w:tblPrEx/>
        <w:trPr/>
        <w:tc>
          <w:tcPr>
            <w:gridSpan w:val="8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 </w:t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  <w:p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ИТОГО</w:t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 </w:t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</w:tc>
      </w:tr>
      <w:tr>
        <w:tblPrEx/>
        <w:trPr/>
        <w:tc>
          <w:tcPr>
            <w:gridSpan w:val="9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Всего по счёту: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рублей 00 копеек.</w:t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</w:tc>
      </w:tr>
      <w:tr>
        <w:tblPrEx/>
        <w:trPr/>
        <w:tc>
          <w:tcPr>
            <w:gridSpan w:val="2"/>
            <w:tcW w:w="202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</w:tc>
        <w:tc>
          <w:tcPr>
            <w:tcW w:w="12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0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05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1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7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ind w:left="142" w:right="141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Оказание Услуг по настоящей Оферте НДС не облагается на основании пп. 14 п. 2 ст. 149 Налогового кодекса Российской Федерации (ч. II).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jc w:val="center"/>
        <w:spacing w:before="240" w:after="0" w:line="330" w:lineRule="atLeast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  <w:lang w:eastAsia="ru-RU"/>
        </w:rPr>
        <w:t xml:space="preserve">Наименование и описание образовательной услуги по программе дополнительного профессионального обучения (ее части)</w:t>
      </w:r>
      <w:r>
        <w:rPr>
          <w:rFonts w:ascii="Calibri" w:hAnsi="Calibri" w:eastAsia="Times New Roman" w:cs="Calibri"/>
          <w:color w:val="000000"/>
          <w:lang w:eastAsia="ru-RU"/>
        </w:rPr>
      </w:r>
    </w:p>
    <w:tbl>
      <w:tblPr>
        <w:tblW w:w="9474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3060"/>
        <w:gridCol w:w="5604"/>
      </w:tblGrid>
      <w:tr>
        <w:tblPrEx/>
        <w:trPr/>
        <w:tc>
          <w:tcPr>
            <w:shd w:val="clear" w:color="auto" w:fill="c0c0c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№</w:t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</w:tc>
        <w:tc>
          <w:tcPr>
            <w:shd w:val="clear" w:color="auto" w:fill="c0c0c0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Программы обучения (модуля)</w:t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</w:tc>
        <w:tc>
          <w:tcPr>
            <w:shd w:val="clear" w:color="auto" w:fill="c0c0c0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04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Описание программы обучения (модуля)</w:t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</w:tc>
      </w:tr>
      <w:tr>
        <w:tblPrEx/>
        <w:trPr>
          <w:trHeight w:val="549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10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</w:t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60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ascii="Calibri" w:hAnsi="Calibri" w:eastAsia="Times New Roman" w:cs="Calibri"/>
                <w:lang w:eastAsia="ru-RU"/>
              </w:rPr>
            </w:r>
            <w:r>
              <w:rPr>
                <w:rFonts w:ascii="Calibri" w:hAnsi="Calibri" w:eastAsia="Times New Roman" w:cs="Calibri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Место проведения: посредством 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нтернет 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в режиме вебинара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 и/или в СДО в соответствии с информацией, размещенной на сайте Исполнителя по адресу: 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http://www.ibs-training.ru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.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spacing w:before="240"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Оплата Счета-оферты производится в рублях РФ.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spacing w:before="240"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Счет-оферта действителен к оплате до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_____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spacing w:before="240"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 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pStyle w:val="638"/>
        <w:numPr>
          <w:ilvl w:val="0"/>
          <w:numId w:val="2"/>
        </w:numPr>
        <w:ind w:left="0" w:firstLine="0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/>
        </w:rPr>
        <w:t xml:space="preserve">Общие положения.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pStyle w:val="638"/>
        <w:numPr>
          <w:ilvl w:val="1"/>
          <w:numId w:val="2"/>
        </w:numPr>
        <w:ind w:left="0" w:firstLine="0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Данный документ является официальным предложением (публичной Офертой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/>
        </w:rPr>
        <w:t xml:space="preserve">Автономной некоммерческой организации образовательной организации дополнительного профессионального образования «</w:t>
      </w: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/>
        </w:rPr>
        <w:t xml:space="preserve">УЧЕБНЫЙ ЦЕНТР ИНФОРМАЦИОННЫЕ БИЗНЕС СИСТЕМЫ</w:t>
      </w: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 (в дальнейшем именуемого </w:t>
      </w: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/>
        </w:rPr>
        <w:t xml:space="preserve">Исполнитель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)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заключить договор на оказание образовательных услуг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и содержит все существенные условия по оказанию предлагаемых Исполнителем, избранных Заказчиком и указанных в разделе «Наименование образовательной Услуги»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настоящей О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ферты образовательных Услуг (далее – </w:t>
      </w: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/>
        </w:rPr>
        <w:t xml:space="preserve">оказание образовательных Услуг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).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pStyle w:val="638"/>
        <w:numPr>
          <w:ilvl w:val="1"/>
          <w:numId w:val="2"/>
        </w:numPr>
        <w:ind w:left="0" w:firstLine="0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В соответствии с п. 2 ст. 437 Гражданского кодекса Российской Федерации (далее – ГК РФ) в случае принятия изложенных в настоящем документе условий и оплаты Услуг по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настоящей О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фе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рте физическое лицо, производящее акцепт этой Оферты, становится Заказчиком (в соответствии с п. 3 ст. 438 ГК РФ акцепт Оферты равносилен заключению договора на условиях, изложенных в Оферте), а Исполнитель и Заказчик совместно – Сторонами договора Оферты.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pStyle w:val="638"/>
        <w:numPr>
          <w:ilvl w:val="1"/>
          <w:numId w:val="2"/>
        </w:numPr>
        <w:ind w:left="0" w:firstLine="0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В связи с вышеизложенным, внимательно прочитайте текст данной публичной Оферты. Если Вы не согласны с каким-либо пунктом Оферты, Исполнитель предлагает Вам отказаться от использования Услуг.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ind w:left="426" w:hanging="426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 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pStyle w:val="638"/>
        <w:numPr>
          <w:ilvl w:val="0"/>
          <w:numId w:val="2"/>
        </w:numPr>
        <w:ind w:left="0" w:firstLine="0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/>
        </w:rPr>
        <w:t xml:space="preserve">Термины.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ind w:left="284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В настоящей публичной Оферте нижеприведенные термины используются в следующем значении: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pStyle w:val="638"/>
        <w:numPr>
          <w:ilvl w:val="1"/>
          <w:numId w:val="2"/>
        </w:numPr>
        <w:ind w:left="0" w:firstLine="0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/>
        </w:rPr>
        <w:t xml:space="preserve">Оферта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 – настоящий документ, опубликованный в сети Интер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нет по адресу: </w:t>
      </w:r>
      <w:hyperlink r:id="rId9" w:tooltip="http://www.ibs-training.ru" w:history="1">
        <w:r>
          <w:rPr>
            <w:rStyle w:val="635"/>
            <w:rFonts w:ascii="Times New Roman" w:hAnsi="Times New Roman" w:eastAsia="Times New Roman" w:cs="Times New Roman"/>
            <w:sz w:val="16"/>
            <w:szCs w:val="16"/>
            <w:lang w:eastAsia="ru-RU"/>
          </w:rPr>
          <w:t xml:space="preserve">http://www.</w:t>
        </w:r>
        <w:r>
          <w:rPr>
            <w:rStyle w:val="635"/>
            <w:rFonts w:ascii="Times New Roman" w:hAnsi="Times New Roman" w:eastAsia="Times New Roman" w:cs="Times New Roman"/>
            <w:sz w:val="16"/>
            <w:szCs w:val="16"/>
            <w:lang w:val="en-US" w:eastAsia="ru-RU"/>
          </w:rPr>
          <w:t xml:space="preserve">ibs</w:t>
        </w:r>
        <w:r>
          <w:rPr>
            <w:rStyle w:val="635"/>
            <w:rFonts w:ascii="Times New Roman" w:hAnsi="Times New Roman" w:eastAsia="Times New Roman" w:cs="Times New Roman"/>
            <w:sz w:val="16"/>
            <w:szCs w:val="16"/>
            <w:lang w:eastAsia="ru-RU"/>
          </w:rPr>
          <w:t xml:space="preserve">-training.ru</w:t>
        </w:r>
      </w:hyperlink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.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pStyle w:val="638"/>
        <w:numPr>
          <w:ilvl w:val="1"/>
          <w:numId w:val="2"/>
        </w:numPr>
        <w:ind w:left="0" w:firstLine="0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/>
        </w:rPr>
        <w:t xml:space="preserve">Акцепт Оферты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 – полное и безоговорочное принятие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Заказчиком условий настоящей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Оферты путем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внесения платы за оказание образовательных Услуг в порядке и на условиях, установленных настоящей Офертой. 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pStyle w:val="638"/>
        <w:numPr>
          <w:ilvl w:val="1"/>
          <w:numId w:val="2"/>
        </w:numPr>
        <w:ind w:left="0" w:firstLine="0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/>
        </w:rPr>
        <w:t xml:space="preserve">Заказчик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 – любое физическое лицо, осуществившее Акцепт Оферты и являющееся таким образом Заказчиком Услуг Исполнителя.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pStyle w:val="638"/>
        <w:numPr>
          <w:ilvl w:val="1"/>
          <w:numId w:val="2"/>
        </w:numPr>
        <w:ind w:left="0" w:firstLine="0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  <w:t xml:space="preserve">Обучающийся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 – физическое лицо, осваивающее дополнительную профессиональную программу и отвечающее требованиям, установленным п. 3.3 настоящей Оферты.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pStyle w:val="638"/>
        <w:numPr>
          <w:ilvl w:val="1"/>
          <w:numId w:val="2"/>
        </w:numPr>
        <w:ind w:left="0" w:firstLine="0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/>
        </w:rPr>
        <w:t xml:space="preserve">Услуга 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– образовательная Услуга, предлагаемая  Исполнителем, избранная  Заказчиком и указанная в разделе «Наименование  образовательной Услуги»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ферты, подробное описание которой находится на интернет-ресурсе по адресу: </w:t>
      </w:r>
      <w:hyperlink r:id="rId10" w:tooltip="http://www.ibs-training.ru" w:history="1">
        <w:r>
          <w:rPr>
            <w:rStyle w:val="635"/>
            <w:rFonts w:ascii="Times New Roman" w:hAnsi="Times New Roman" w:eastAsia="Times New Roman" w:cs="Times New Roman"/>
            <w:sz w:val="16"/>
            <w:szCs w:val="16"/>
            <w:lang w:eastAsia="ru-RU"/>
          </w:rPr>
          <w:t xml:space="preserve">http://www.</w:t>
        </w:r>
        <w:r>
          <w:rPr>
            <w:rStyle w:val="635"/>
            <w:rFonts w:ascii="Times New Roman" w:hAnsi="Times New Roman" w:eastAsia="Times New Roman" w:cs="Times New Roman"/>
            <w:sz w:val="16"/>
            <w:szCs w:val="16"/>
            <w:lang w:val="en-US" w:eastAsia="ru-RU"/>
          </w:rPr>
          <w:t xml:space="preserve">ibs</w:t>
        </w:r>
        <w:r>
          <w:rPr>
            <w:rStyle w:val="635"/>
            <w:rFonts w:ascii="Times New Roman" w:hAnsi="Times New Roman" w:eastAsia="Times New Roman" w:cs="Times New Roman"/>
            <w:sz w:val="16"/>
            <w:szCs w:val="16"/>
            <w:lang w:eastAsia="ru-RU"/>
          </w:rPr>
          <w:t xml:space="preserve">-training.ru</w:t>
        </w:r>
      </w:hyperlink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. Услуга по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настоящей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Оферте оказывается Исполнителем на основании Лицензии на осуществление образовательной деятельности № 036441 от 17 августа 2015 г., выданной Департаментом образования города Москвы, номер свидетельства: 77Л01 № 0007247.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pStyle w:val="638"/>
        <w:numPr>
          <w:ilvl w:val="1"/>
          <w:numId w:val="2"/>
        </w:numPr>
        <w:ind w:left="0" w:firstLine="0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/>
        </w:rPr>
        <w:t xml:space="preserve">Вебинар (webinar) – 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разновидность web-конференции, онлайн-встреч или презентаций через Интернет. Основным отличием вебинара от web-конференции является использование его для проведения обучения.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pStyle w:val="638"/>
        <w:numPr>
          <w:ilvl w:val="1"/>
          <w:numId w:val="2"/>
        </w:numPr>
        <w:ind w:left="0" w:firstLine="0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/>
        </w:rPr>
        <w:t xml:space="preserve">Система дистанционного обучения (СДО) </w:t>
      </w:r>
      <w:r>
        <w:rPr>
          <w:rFonts w:ascii="Times New Roman" w:hAnsi="Times New Roman" w:eastAsia="Times New Roman" w:cs="Times New Roman"/>
          <w:bCs/>
          <w:color w:val="000000"/>
          <w:sz w:val="16"/>
          <w:szCs w:val="16"/>
          <w:lang w:eastAsia="ru-RU"/>
        </w:rPr>
        <w:t xml:space="preserve">– система для самообучения физического лица.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ind w:left="426" w:hanging="426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/>
        </w:rPr>
        <w:t xml:space="preserve"> 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pStyle w:val="638"/>
        <w:numPr>
          <w:ilvl w:val="0"/>
          <w:numId w:val="2"/>
        </w:numPr>
        <w:ind w:left="0" w:firstLine="0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/>
        </w:rPr>
        <w:t xml:space="preserve">Предмет Оферты.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pStyle w:val="638"/>
        <w:numPr>
          <w:ilvl w:val="1"/>
          <w:numId w:val="2"/>
        </w:numPr>
        <w:ind w:left="0" w:firstLine="0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Предметом настоящей Оферты является оказание Заказчику образовательных Услуг по программам дополнительного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 профессионального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 обучения (ее части), виду, уровню, направленности, указанным в настоящей Оферте и в соответствии с ее условиями.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pStyle w:val="638"/>
        <w:numPr>
          <w:ilvl w:val="1"/>
          <w:numId w:val="2"/>
        </w:numPr>
        <w:ind w:left="0" w:firstLine="0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Форма, формат, программа обучения, сроки освоения программ дополнительного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профессионального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обучения (ее части) указаны в настоящей Оферте.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pStyle w:val="638"/>
        <w:numPr>
          <w:ilvl w:val="1"/>
          <w:numId w:val="2"/>
        </w:numPr>
        <w:ind w:left="0" w:firstLine="0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Существенным условием настоящей Оферты является наличие у Обучающегося среднего профессионального или высшего образования, или получение такого образования на дату Акцепта Оферты.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ind w:left="360" w:hanging="360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/>
        </w:rPr>
        <w:t xml:space="preserve"> 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pStyle w:val="638"/>
        <w:numPr>
          <w:ilvl w:val="0"/>
          <w:numId w:val="2"/>
        </w:numPr>
        <w:ind w:left="0" w:firstLine="0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/>
        </w:rPr>
        <w:t xml:space="preserve">Условия и порядок предоставления Услуг.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pStyle w:val="638"/>
        <w:numPr>
          <w:ilvl w:val="1"/>
          <w:numId w:val="2"/>
        </w:numPr>
        <w:ind w:left="0" w:firstLine="0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Оказание образовательных Услуг предоставляется в полном объеме при условии 100% (сто процентов) оплаты Заказчиком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ферты.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pStyle w:val="638"/>
        <w:numPr>
          <w:ilvl w:val="1"/>
          <w:numId w:val="2"/>
        </w:numPr>
        <w:ind w:left="0" w:firstLine="0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Оплата производится Заказчиком в рублях Российской Федерации в безналичной форме путем перечисления денежных средств на расчетный счет Исполнителя, указанный в настоящей Оферте.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В платежном документе в разделе «Назначение платежа» должно быть указано: «Оказание образовательных Услуг по Счету-оферте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 № __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». Оплата Заказчиком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Оферты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 Исполнителя является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Акцептом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Оферты.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pStyle w:val="638"/>
        <w:numPr>
          <w:ilvl w:val="1"/>
          <w:numId w:val="2"/>
        </w:numPr>
        <w:ind w:left="0" w:firstLine="0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Датой Акцепта Оферты (датой заключения Договора) считается дата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зачисления денежных средств на расчетный счет Исполнителя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.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pStyle w:val="638"/>
        <w:numPr>
          <w:ilvl w:val="1"/>
          <w:numId w:val="2"/>
        </w:numPr>
        <w:ind w:left="0" w:firstLine="0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В течение не более 5 (пяти) рабочих дней с момента Акцепта Оферты Исполнитель предоставляет электронное подтверждение о включении Заказчика в Образовательный/Учебный план.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pStyle w:val="638"/>
        <w:numPr>
          <w:ilvl w:val="1"/>
          <w:numId w:val="2"/>
        </w:numPr>
        <w:ind w:left="0" w:firstLine="0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Раздаточные материалы при оказании образовательной Услуги предоставляются Заказчику непосредственно на месте предоставления Услуги и в период её предоставления в случае, предусмотренном образовательной программой.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pStyle w:val="638"/>
        <w:numPr>
          <w:ilvl w:val="1"/>
          <w:numId w:val="2"/>
        </w:numPr>
        <w:ind w:left="0" w:firstLine="0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Оказание Услуг по настоящей Оферте НДС не облагается на основании пп. 14 п. 2 ст. 149 Налогового кодекса Российской Федерации (ч. II).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 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pStyle w:val="638"/>
        <w:numPr>
          <w:ilvl w:val="0"/>
          <w:numId w:val="2"/>
        </w:numPr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  <w:t xml:space="preserve">Условия и порядок предоставления Услуг с использованием СДО.</w:t>
      </w:r>
      <w:r>
        <w:rPr>
          <w:rFonts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r>
    </w:p>
    <w:p>
      <w:pPr>
        <w:pStyle w:val="638"/>
        <w:numPr>
          <w:ilvl w:val="1"/>
          <w:numId w:val="2"/>
        </w:numPr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Доступ к СДО предоставляется Заказчику/Обучающемуся после полной оплаты образовательных Услуг Исполнителя (Акцепта Оферты). Реквизиты для доступа к СДО направляются на электронный адрес Заказчика, указанный в настоящей Оферте.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pStyle w:val="638"/>
        <w:numPr>
          <w:ilvl w:val="1"/>
          <w:numId w:val="2"/>
        </w:numPr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Период доступа Заказчика/Обучающегося к СДО определяется в соответствии с объемом образовательной программы и указывается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 на сайте Исполнителя по адресу: </w:t>
      </w:r>
      <w:hyperlink r:id="rId11" w:tooltip="http://www.ibs-training.ru" w:history="1">
        <w:r>
          <w:rPr>
            <w:rStyle w:val="635"/>
            <w:rFonts w:ascii="Times New Roman" w:hAnsi="Times New Roman" w:eastAsia="Times New Roman" w:cs="Times New Roman"/>
            <w:sz w:val="16"/>
            <w:szCs w:val="16"/>
            <w:lang w:eastAsia="ru-RU"/>
          </w:rPr>
          <w:t xml:space="preserve">http://www.ibs-training.ru</w:t>
        </w:r>
      </w:hyperlink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. По истечении такого периода доступ Заказчика/Обучающегося к СДО закрывается.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pStyle w:val="638"/>
        <w:numPr>
          <w:ilvl w:val="1"/>
          <w:numId w:val="2"/>
        </w:numPr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Положения настоящего раздела 5 Оферты применятся к отношениям Сторон в случае оказания Услуг с использованием СДО. 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pStyle w:val="638"/>
        <w:ind w:left="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pStyle w:val="638"/>
        <w:numPr>
          <w:ilvl w:val="0"/>
          <w:numId w:val="2"/>
        </w:numPr>
        <w:ind w:left="0" w:firstLine="0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/>
        </w:rPr>
        <w:t xml:space="preserve">Порядок приемки и сдачи Услуг.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pStyle w:val="638"/>
        <w:numPr>
          <w:ilvl w:val="1"/>
          <w:numId w:val="2"/>
        </w:numPr>
        <w:ind w:left="0" w:firstLine="0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В течение 5 (пяти) рабочих дней с даты окончания соответствующей Услуги Исполнитель нап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равляет Заказчику подписанный Акт сдачи-приемки Услуг, а Заказчик в течение 3 (трех) рабочих дней со дня получения Акта сдачи-приемки обязан направить Исполнителю подписанный Заказчиком Акт сдачи-приемки или мотивированный отказ от приемки оказанных Услуг.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pStyle w:val="638"/>
        <w:numPr>
          <w:ilvl w:val="1"/>
          <w:numId w:val="2"/>
        </w:numPr>
        <w:ind w:left="0" w:firstLine="0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В случае мотивированного отказа Заказчика от подписания Акта сдачи-приемки Сторонами составляется двухсторонний Акт с перечнем необходимых изменений и сроков их исполнения.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pStyle w:val="638"/>
        <w:numPr>
          <w:ilvl w:val="1"/>
          <w:numId w:val="2"/>
        </w:numPr>
        <w:ind w:left="0" w:firstLine="0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В случае если в соответствии с п. 5.1 нас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тоящей Оферты Заказчиком не будет возвращен один экземпляр Акта сдачи-приемки и не представлен мотивированный отказ от приемки оказанных Услуг, обязательство Исполнителя по оказанию Услуг будет считаться исполненным в полном объеме, а Услуги, оказанные по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Оферте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, принятыми Заказчиком в полном объеме.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ind w:left="426" w:hanging="284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 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pStyle w:val="638"/>
        <w:numPr>
          <w:ilvl w:val="0"/>
          <w:numId w:val="2"/>
        </w:numPr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Права и обяза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нности Исполнителя, Заказчика/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Обучающегося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pStyle w:val="638"/>
        <w:numPr>
          <w:ilvl w:val="1"/>
          <w:numId w:val="2"/>
        </w:numPr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Исполнитель обязан: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pStyle w:val="638"/>
        <w:numPr>
          <w:ilvl w:val="2"/>
          <w:numId w:val="2"/>
        </w:numPr>
        <w:ind w:left="0" w:firstLine="0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Оказать Заказчику/Обучающемуся образовательную Услугу, указанную в настоящей Оферте, в соответствии с описанием выбранной образовательной Услуги, содержащейся на интернет-ресурсе по адресу: http://www.ibs-training.ru.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pStyle w:val="638"/>
        <w:numPr>
          <w:ilvl w:val="2"/>
          <w:numId w:val="2"/>
        </w:numPr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Оказать Услуги качественно и в срок. Оказание Услуг осуществляется на русском языке.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pStyle w:val="638"/>
        <w:numPr>
          <w:ilvl w:val="2"/>
          <w:numId w:val="2"/>
        </w:numPr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Выдать каждому Обучающемуся успешно прошедшему обучение, а также в случае предоставления данных, предусмотренных п.7.12 настоящей Оферты – Удостовер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ение о повышении квалификации (в соответствии с Приказом Минобрнауки России № 499 от 01.07.2013). В случае если Обучающийся успешно прошел обучение, но не предоставил данные, предусмотренные п. 7.12 настоящей Оферты – выдать справку о прохождении обучения.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pStyle w:val="638"/>
        <w:ind w:left="108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pStyle w:val="638"/>
        <w:numPr>
          <w:ilvl w:val="1"/>
          <w:numId w:val="2"/>
        </w:numPr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Исполнитель вправе: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pStyle w:val="638"/>
        <w:numPr>
          <w:ilvl w:val="2"/>
          <w:numId w:val="2"/>
        </w:numPr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Самостоятельно определять специалисто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в и их количество для оказания образовательных Услуг по Оферте, а также график их работы. В случае необходимости Исполнитель вправе привлекать для исполнения обязательств по Оферте третьих лиц, за действия которых он несет ответственность перед Заказчиком.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pStyle w:val="638"/>
        <w:numPr>
          <w:ilvl w:val="2"/>
          <w:numId w:val="2"/>
        </w:numPr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Перенести сроки оказания Услуг при условии предварительного согласования переноса сроков с Заказчиком.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pStyle w:val="638"/>
        <w:ind w:left="108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pStyle w:val="638"/>
        <w:numPr>
          <w:ilvl w:val="1"/>
          <w:numId w:val="2"/>
        </w:numPr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Заказчик/Обучающийся обязан: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pStyle w:val="638"/>
        <w:numPr>
          <w:ilvl w:val="2"/>
          <w:numId w:val="2"/>
        </w:numPr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Своевременно принимать и оплачивать Услуги Исполнителя в соответствии с п. 4.2 настоящей Оферты;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pStyle w:val="638"/>
        <w:numPr>
          <w:ilvl w:val="2"/>
          <w:numId w:val="2"/>
        </w:numPr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Выполнять задания для подготовки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 к занятиям, предусмотренным учебным планом;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pStyle w:val="638"/>
        <w:numPr>
          <w:ilvl w:val="2"/>
          <w:numId w:val="2"/>
        </w:numPr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Соблюдать правила учредительных документов, правила внутреннего распорядка и иные локальные нормативные акты Исполнителя;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pStyle w:val="638"/>
        <w:numPr>
          <w:ilvl w:val="1"/>
          <w:numId w:val="2"/>
        </w:numPr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Заказчик/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Обучающийся вправе: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pStyle w:val="638"/>
        <w:numPr>
          <w:ilvl w:val="2"/>
          <w:numId w:val="2"/>
        </w:numPr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Получать информацию от Исполнителя по вопросам организации и обеспечения оказания Услуг;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pStyle w:val="638"/>
        <w:numPr>
          <w:ilvl w:val="2"/>
          <w:numId w:val="2"/>
        </w:numPr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Обращаться к Исполнителю по вопросам, касающимся процесса обучения;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pStyle w:val="638"/>
        <w:numPr>
          <w:ilvl w:val="2"/>
          <w:numId w:val="2"/>
        </w:numPr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Получать от Исполнителя полную и достоверную информацию об оценке своих знаний, умений, навыков и компетенций, а также о критериях этой оценки.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ind w:left="360" w:hanging="36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pStyle w:val="638"/>
        <w:numPr>
          <w:ilvl w:val="0"/>
          <w:numId w:val="2"/>
        </w:numPr>
        <w:ind w:left="0" w:firstLine="0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/>
        </w:rPr>
        <w:t xml:space="preserve">Особые условия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pStyle w:val="638"/>
        <w:numPr>
          <w:ilvl w:val="1"/>
          <w:numId w:val="2"/>
        </w:numPr>
        <w:ind w:left="0" w:firstLine="0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Исполнитель делает все возможное, чтобы обеспечить качественное и бесперебойное предоставление Услуг Заказчику.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pStyle w:val="638"/>
        <w:numPr>
          <w:ilvl w:val="1"/>
          <w:numId w:val="2"/>
        </w:numPr>
        <w:ind w:left="0" w:firstLine="0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Исполнитель не несет ответственности за нарушение условий О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ферты, если такое нарушение вызвано действием обстоятельств непреодолимой силы (форс-мажор), включая: действия органов государственной власти, пожар, наводнение, землетрясение, другие стихийные  бедствия, отсутствие электроэнергии и/или сбои работы компьют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ерной сети, забастовки, гражданские волнения, беспорядки, болезнь преподавателя, любые иные обстоятельства, не ограничиваясь перечисленным, которые могут повлиять на выполнение Исполнителем условий настоящей публичной Оферты и неподконтрольные Исполнителю.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pStyle w:val="638"/>
        <w:numPr>
          <w:ilvl w:val="1"/>
          <w:numId w:val="2"/>
        </w:numPr>
        <w:ind w:left="0" w:firstLine="0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В случае невозможности оказания Услуг по вине Исполнителя, Исполнитель обязуется произвести возврат денежных средств, оплаченных Заказчиком.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pStyle w:val="638"/>
        <w:numPr>
          <w:ilvl w:val="1"/>
          <w:numId w:val="2"/>
        </w:numPr>
        <w:ind w:left="0" w:firstLine="0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Заказчик обязуется использовать раздаточные материалы Услуги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и/или материалы курса в СДО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только в индивидуальном порядке. Заказчик обязуется не предоставлять доступ к раздаточным материалам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и/или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к материалы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 курса в СДО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третьим лицам.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Материалы Услуги защищены авторским правом и являются собственностью Исполнителя.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pStyle w:val="638"/>
        <w:numPr>
          <w:ilvl w:val="1"/>
          <w:numId w:val="2"/>
        </w:numPr>
        <w:ind w:left="0" w:firstLine="0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Заказчику запрещается распространять или иным образом использовать (публиковать, размещать на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интернет-сайтах, копировать, передавать или перепродавать третьим лицам) в коммерческих или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некоммерческих целях предоставляемые Исполнителем Заказчику материалы в рамках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настоящей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 Оферты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, создавать на их основе информационные продукты, а также использовать эти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материалы каким-либо иным образом, кроме как для личного/внутреннего пользования. Материалы защищены авторским правом и являются собственностью Исполнителя.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pStyle w:val="638"/>
        <w:numPr>
          <w:ilvl w:val="1"/>
          <w:numId w:val="2"/>
        </w:numPr>
        <w:ind w:left="0" w:firstLine="0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Обучающемуся-участнику вебинара запрещается осуществлять запись вебинара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, а также копировать материалы из СДО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 любыми способами (в том числе, на жесткий диск компьютера либо посредством видеоаппаратуры) без специального на то разрешения Исполнителя.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pStyle w:val="638"/>
        <w:numPr>
          <w:ilvl w:val="1"/>
          <w:numId w:val="2"/>
        </w:numPr>
        <w:ind w:left="0" w:firstLine="0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Услуги предоставляются для личного/внутреннего использования Заказчиком. Запрещается передавать Реквизиты доступа на вебинар третьим лицам, либо для совместного использования Заказчика с третьими лицами без специального на то разрешения Исполнителя.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pStyle w:val="638"/>
        <w:numPr>
          <w:ilvl w:val="1"/>
          <w:numId w:val="2"/>
        </w:numPr>
        <w:ind w:left="0" w:firstLine="0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Заказчик и Исполнитель обязуются обеспечивать конфиденциальность учетных данных Заказчика. Если ино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е прямо не предусмотрено законодательством, Исполнитель не несет ответственности за ущерб любого рода, понесенный Заказчиком в связи с разглашением Заказчиком своих учетных данных. Исполнитель не несет ответственности за ущерб любого рода, понесенный Заказ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чиком из-за разглашения учетных данных Заказчика вследствие несанкционированного доступа третьих лиц к техническим ресурсам, предоставляемым Исполнителем. Исполнитель имеет доступ к информации Заказчика исключительно в целях технического обеспечения Услуг.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pStyle w:val="638"/>
        <w:numPr>
          <w:ilvl w:val="1"/>
          <w:numId w:val="2"/>
        </w:numPr>
        <w:ind w:left="0" w:firstLine="0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Ничто в настоящей Оферте не может пониматься как установление между Исполнителем и Заказчиком агентских отношений, трудовых отношений, отношений товарищества, отношений совместной деятельности, отношений личного найма.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pStyle w:val="638"/>
        <w:numPr>
          <w:ilvl w:val="1"/>
          <w:numId w:val="2"/>
        </w:numPr>
        <w:ind w:left="0" w:firstLine="0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Исполнитель вправе собирать, использов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ать, передавать, хранить или иным образом обрабатывать (далее по тексту – «Обработка») информацию, предоставленную Заказчиком, которая может быть отнесена к Персональным данным физических лиц (далее по тексту – «Персональные данные) в целях оказания Услуг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Заказчику/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Обучающемуся. Исполнитель производит Обработку Персональных данных в соответствии с применимым законодательством и внутренними документами о защите персональных данных. Исполнитель производит Обработку Персональных данных, вклю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чая трансграничную передачу, при условии соблюдения требований, предъявляемых законодательством для такой передачи, а также при условии обеспечения технических, организационных и иных мер безопасности на уровне, предписываемом применимым законодательством.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pStyle w:val="638"/>
        <w:numPr>
          <w:ilvl w:val="1"/>
          <w:numId w:val="2"/>
        </w:numPr>
        <w:ind w:left="0" w:firstLine="0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Для повышения качества оказываемых Услуг Исполнителем, Заказчик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/Обучающийся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 принимая настоящую Оферту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 дает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свое согласие на произведение Исполнителем видео записи оказываемых Услуг по настоящей Оферте для внутреннего использования.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pStyle w:val="638"/>
        <w:numPr>
          <w:ilvl w:val="1"/>
          <w:numId w:val="2"/>
        </w:numPr>
        <w:ind w:left="0" w:firstLine="0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Настоящим Заказчик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/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Обучающийся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 дает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 согласие на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 передачу Исполнителю в целях формирования и ведения ФИС ФРДО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 следующих Персональных данных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: фамилия, имя, отчество (при наличии), дата рож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дения (число, месяц, год рождения), пол, страховой номер индивидуального лицевого счета (для граждан РФ), гражданство. Передача указанных Персональных данных осуществляется на основании требований ч. 9, 10 ст. 98, п. 2 ч. 15 ст. 107 Федерального закона от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29.12.2012 № 273-ФЗ «Об образовании в Российской Федерации» и Постановления Правительства РФ от 26.08.2013 № 729 «О федеральной информационной системе «Федеральный реестр сведений о документах об образовании и (или) о квалификации, документах об обучении».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ind w:left="360" w:hanging="360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/>
        </w:rPr>
        <w:t xml:space="preserve"> 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ind w:left="284" w:hanging="284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/>
        </w:rPr>
        <w:t xml:space="preserve">Ответственность сторон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/>
        </w:rPr>
        <w:t xml:space="preserve">.1.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 В случае если услуги не были оказаны Исполнителем по уважительной причине (например, болезнь преподавателя или иные форс-мажорные обстоятельства, указанные в п.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.2 настоящей Оферты) и Исполнитель своевременно уведомил Заказчика о невозможности оказания Услуг в указанный в настоящей Оферте срок, то Исполнитель возвращает Заказчику только сумму предоплаты, внесенную за неоказанные Услуги, без возмещения убытков.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/>
        </w:rPr>
        <w:t xml:space="preserve">.2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. В случае если Заказчик / Обучающийся не посетил занятия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и/или не прошел занятия в СДО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полностью или частично без уведомления об этом Исполнителя посредством электронной почты или факсом не менее чем за 3 (три) рабочих дня до начала обучения и при условии отсутствия вины Исполнителя, предварительная оплата Заказчику не возвращается.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/>
        </w:rPr>
        <w:t xml:space="preserve">.3.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Сторона, просрочившая исполнение, возмещает другой стороне понесенные убытки. Сумма такого возмещения не может превышать 10% от цены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 Оферты.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ind w:left="284" w:hanging="284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/>
        </w:rPr>
        <w:t xml:space="preserve"> 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ind w:left="284" w:hanging="284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/>
        </w:rPr>
        <w:t xml:space="preserve">10</w:t>
      </w: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/>
        </w:rPr>
        <w:t xml:space="preserve">Срок действия и изменение Оферты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ind w:left="284" w:hanging="284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/>
        </w:rPr>
        <w:t xml:space="preserve">10</w:t>
      </w: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/>
        </w:rPr>
        <w:t xml:space="preserve">.1.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 Договор Оферты вступает в силу с момента Акцепта Оферты и действует до выполнения Сторонами своих обязательств.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ind w:left="284" w:hanging="284"/>
        <w:jc w:val="both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/>
        </w:rPr>
        <w:t xml:space="preserve">10</w:t>
      </w:r>
      <w:r>
        <w:rPr>
          <w:rFonts w:ascii="Times New Roman" w:hAnsi="Times New Roman" w:eastAsia="Times New Roman" w:cs="Times New Roman"/>
          <w:b/>
          <w:bCs/>
          <w:color w:val="000000"/>
          <w:sz w:val="16"/>
          <w:szCs w:val="16"/>
          <w:lang w:eastAsia="ru-RU"/>
        </w:rPr>
        <w:t xml:space="preserve">.2.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 Все споры и разногласия решаются путем переговоров Сторон. В случае если разногласия и споры не могут быть разрешены Сторонами в течение одного месяца путем переговоров, данные споры разрешаются Сторонами путем обращения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в суд в соответствии с законодательством Российской Федерации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.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spacing w:before="240"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 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spacing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lang w:eastAsia="ru-RU"/>
        </w:rPr>
        <w:t xml:space="preserve">От Исполнителя:                                                                           </w:t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Директор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АНО ДПО "УЦ ИБС"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/Гер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В.А.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/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r/>
      <w:r/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16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 w:ascii="Times New Roman" w:hAnsi="Times New Roman" w:cs="Times New Roman"/>
        <w:b/>
        <w:sz w:val="16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 w:ascii="Times New Roman" w:hAnsi="Times New Roman" w:cs="Times New Roman"/>
        <w:b/>
        <w:sz w:val="16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 w:ascii="Times New Roman" w:hAnsi="Times New Roman" w:cs="Times New Roman"/>
        <w:b/>
        <w:sz w:val="16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 w:ascii="Times New Roman" w:hAnsi="Times New Roman" w:cs="Times New Roman"/>
        <w:b/>
        <w:sz w:val="16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 w:ascii="Times New Roman" w:hAnsi="Times New Roman" w:cs="Times New Roman"/>
        <w:b/>
        <w:sz w:val="16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 w:ascii="Times New Roman" w:hAnsi="Times New Roman" w:cs="Times New Roman"/>
        <w:b/>
        <w:sz w:val="16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 w:ascii="Times New Roman" w:hAnsi="Times New Roman" w:cs="Times New Roman"/>
        <w:b/>
        <w:sz w:val="16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 w:ascii="Times New Roman" w:hAnsi="Times New Roman" w:cs="Times New Roman"/>
        <w:b/>
        <w:sz w:val="16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16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 w:ascii="Times New Roman" w:hAnsi="Times New Roman" w:cs="Times New Roman"/>
        <w:b/>
        <w:sz w:val="16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 w:ascii="Times New Roman" w:hAnsi="Times New Roman" w:cs="Times New Roman"/>
        <w:b/>
        <w:sz w:val="16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 w:ascii="Times New Roman" w:hAnsi="Times New Roman" w:cs="Times New Roman"/>
        <w:b/>
        <w:sz w:val="16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 w:ascii="Times New Roman" w:hAnsi="Times New Roman" w:cs="Times New Roman"/>
        <w:b/>
        <w:sz w:val="16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 w:ascii="Times New Roman" w:hAnsi="Times New Roman" w:cs="Times New Roman"/>
        <w:b/>
        <w:sz w:val="16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 w:ascii="Times New Roman" w:hAnsi="Times New Roman" w:cs="Times New Roman"/>
        <w:b/>
        <w:sz w:val="16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 w:ascii="Times New Roman" w:hAnsi="Times New Roman" w:cs="Times New Roman"/>
        <w:b/>
        <w:sz w:val="16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 w:ascii="Times New Roman" w:hAnsi="Times New Roman" w:cs="Times New Roman"/>
        <w:b/>
        <w:sz w:val="16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16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 w:ascii="Times New Roman" w:hAnsi="Times New Roman" w:cs="Times New Roman"/>
        <w:b/>
        <w:sz w:val="16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 w:ascii="Times New Roman" w:hAnsi="Times New Roman" w:cs="Times New Roman"/>
        <w:b/>
        <w:sz w:val="16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 w:ascii="Times New Roman" w:hAnsi="Times New Roman" w:cs="Times New Roman"/>
        <w:b/>
        <w:sz w:val="16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 w:ascii="Times New Roman" w:hAnsi="Times New Roman" w:cs="Times New Roman"/>
        <w:b/>
        <w:sz w:val="16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 w:ascii="Times New Roman" w:hAnsi="Times New Roman" w:cs="Times New Roman"/>
        <w:b/>
        <w:sz w:val="16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 w:ascii="Times New Roman" w:hAnsi="Times New Roman" w:cs="Times New Roman"/>
        <w:b/>
        <w:sz w:val="16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 w:ascii="Times New Roman" w:hAnsi="Times New Roman" w:cs="Times New Roman"/>
        <w:b/>
        <w:sz w:val="16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 w:ascii="Times New Roman" w:hAnsi="Times New Roman" w:cs="Times New Roman"/>
        <w:b/>
        <w:sz w:val="16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16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 w:ascii="Times New Roman" w:hAnsi="Times New Roman" w:cs="Times New Roman"/>
        <w:b/>
        <w:sz w:val="16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 w:ascii="Times New Roman" w:hAnsi="Times New Roman" w:cs="Times New Roman"/>
        <w:b/>
        <w:sz w:val="16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 w:ascii="Times New Roman" w:hAnsi="Times New Roman" w:cs="Times New Roman"/>
        <w:b/>
        <w:sz w:val="16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 w:ascii="Times New Roman" w:hAnsi="Times New Roman" w:cs="Times New Roman"/>
        <w:b/>
        <w:sz w:val="16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 w:ascii="Times New Roman" w:hAnsi="Times New Roman" w:cs="Times New Roman"/>
        <w:b/>
        <w:sz w:val="16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 w:ascii="Times New Roman" w:hAnsi="Times New Roman" w:cs="Times New Roman"/>
        <w:b/>
        <w:sz w:val="16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 w:ascii="Times New Roman" w:hAnsi="Times New Roman" w:cs="Times New Roman"/>
        <w:b/>
        <w:sz w:val="16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 w:ascii="Times New Roman" w:hAnsi="Times New Roman" w:cs="Times New Roman"/>
        <w:b/>
        <w:sz w:val="16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1"/>
    <w:next w:val="63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1"/>
    <w:next w:val="63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1"/>
    <w:next w:val="63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1"/>
    <w:next w:val="63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1"/>
    <w:next w:val="63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1"/>
    <w:next w:val="63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1"/>
    <w:next w:val="63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1"/>
    <w:next w:val="63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1"/>
    <w:next w:val="63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1"/>
    <w:next w:val="63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2"/>
    <w:link w:val="34"/>
    <w:uiPriority w:val="10"/>
    <w:rPr>
      <w:sz w:val="48"/>
      <w:szCs w:val="48"/>
    </w:rPr>
  </w:style>
  <w:style w:type="paragraph" w:styleId="36">
    <w:name w:val="Subtitle"/>
    <w:basedOn w:val="631"/>
    <w:next w:val="63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2"/>
    <w:link w:val="36"/>
    <w:uiPriority w:val="11"/>
    <w:rPr>
      <w:sz w:val="24"/>
      <w:szCs w:val="24"/>
    </w:rPr>
  </w:style>
  <w:style w:type="paragraph" w:styleId="38">
    <w:name w:val="Quote"/>
    <w:basedOn w:val="631"/>
    <w:next w:val="63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1"/>
    <w:next w:val="63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2"/>
    <w:link w:val="42"/>
    <w:uiPriority w:val="99"/>
  </w:style>
  <w:style w:type="paragraph" w:styleId="44">
    <w:name w:val="Footer"/>
    <w:basedOn w:val="631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2"/>
    <w:link w:val="44"/>
    <w:uiPriority w:val="99"/>
  </w:style>
  <w:style w:type="paragraph" w:styleId="46">
    <w:name w:val="Caption"/>
    <w:basedOn w:val="631"/>
    <w:next w:val="631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32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2"/>
    <w:uiPriority w:val="99"/>
    <w:unhideWhenUsed/>
    <w:rPr>
      <w:vertAlign w:val="superscript"/>
    </w:rPr>
  </w:style>
  <w:style w:type="paragraph" w:styleId="178">
    <w:name w:val="endnote text"/>
    <w:basedOn w:val="63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2"/>
    <w:uiPriority w:val="99"/>
    <w:semiHidden/>
    <w:unhideWhenUsed/>
    <w:rPr>
      <w:vertAlign w:val="superscript"/>
    </w:rPr>
  </w:style>
  <w:style w:type="paragraph" w:styleId="181">
    <w:name w:val="toc 1"/>
    <w:basedOn w:val="631"/>
    <w:next w:val="63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1"/>
    <w:next w:val="63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1"/>
    <w:next w:val="63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1"/>
    <w:next w:val="63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1"/>
    <w:next w:val="63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1"/>
    <w:next w:val="63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1"/>
    <w:next w:val="63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1"/>
    <w:next w:val="63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1"/>
    <w:next w:val="63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1"/>
    <w:next w:val="631"/>
    <w:uiPriority w:val="99"/>
    <w:unhideWhenUsed/>
    <w:pPr>
      <w:spacing w:after="0" w:afterAutospacing="0"/>
    </w:pPr>
  </w:style>
  <w:style w:type="paragraph" w:styleId="631" w:default="1">
    <w:name w:val="Normal"/>
    <w:qFormat/>
  </w:style>
  <w:style w:type="character" w:styleId="632" w:default="1">
    <w:name w:val="Default Paragraph Font"/>
    <w:uiPriority w:val="1"/>
    <w:semiHidden/>
    <w:unhideWhenUsed/>
  </w:style>
  <w:style w:type="table" w:styleId="6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4" w:default="1">
    <w:name w:val="No List"/>
    <w:uiPriority w:val="99"/>
    <w:semiHidden/>
    <w:unhideWhenUsed/>
  </w:style>
  <w:style w:type="character" w:styleId="635">
    <w:name w:val="Hyperlink"/>
    <w:basedOn w:val="632"/>
    <w:uiPriority w:val="99"/>
    <w:unhideWhenUsed/>
    <w:rPr>
      <w:color w:val="0000ff"/>
      <w:u w:val="single"/>
    </w:rPr>
  </w:style>
  <w:style w:type="paragraph" w:styleId="636">
    <w:name w:val="Balloon Text"/>
    <w:basedOn w:val="631"/>
    <w:link w:val="6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37" w:customStyle="1">
    <w:name w:val="Текст выноски Знак"/>
    <w:basedOn w:val="632"/>
    <w:link w:val="636"/>
    <w:uiPriority w:val="99"/>
    <w:semiHidden/>
    <w:rPr>
      <w:rFonts w:ascii="Segoe UI" w:hAnsi="Segoe UI" w:cs="Segoe UI"/>
      <w:sz w:val="18"/>
      <w:szCs w:val="18"/>
    </w:rPr>
  </w:style>
  <w:style w:type="paragraph" w:styleId="638">
    <w:name w:val="List Paragraph"/>
    <w:basedOn w:val="631"/>
    <w:uiPriority w:val="34"/>
    <w:qFormat/>
    <w:pPr>
      <w:contextualSpacing/>
      <w:ind w:left="720"/>
    </w:pPr>
  </w:style>
  <w:style w:type="character" w:styleId="639">
    <w:name w:val="annotation reference"/>
    <w:basedOn w:val="632"/>
    <w:uiPriority w:val="99"/>
    <w:semiHidden/>
    <w:unhideWhenUsed/>
    <w:rPr>
      <w:sz w:val="16"/>
      <w:szCs w:val="16"/>
    </w:rPr>
  </w:style>
  <w:style w:type="paragraph" w:styleId="640">
    <w:name w:val="annotation text"/>
    <w:basedOn w:val="631"/>
    <w:link w:val="64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41" w:customStyle="1">
    <w:name w:val="Текст примечания Знак"/>
    <w:basedOn w:val="632"/>
    <w:link w:val="640"/>
    <w:uiPriority w:val="99"/>
    <w:semiHidden/>
    <w:rPr>
      <w:sz w:val="20"/>
      <w:szCs w:val="20"/>
    </w:rPr>
  </w:style>
  <w:style w:type="paragraph" w:styleId="642">
    <w:name w:val="annotation subject"/>
    <w:basedOn w:val="640"/>
    <w:next w:val="640"/>
    <w:link w:val="643"/>
    <w:uiPriority w:val="99"/>
    <w:semiHidden/>
    <w:unhideWhenUsed/>
    <w:rPr>
      <w:b/>
      <w:bCs/>
    </w:rPr>
  </w:style>
  <w:style w:type="character" w:styleId="643" w:customStyle="1">
    <w:name w:val="Тема примечания Знак"/>
    <w:basedOn w:val="641"/>
    <w:link w:val="642"/>
    <w:uiPriority w:val="99"/>
    <w:semiHidden/>
    <w:rPr>
      <w:b/>
      <w:bCs/>
      <w:sz w:val="20"/>
      <w:szCs w:val="20"/>
    </w:rPr>
  </w:style>
  <w:style w:type="character" w:styleId="644">
    <w:name w:val="FollowedHyperlink"/>
    <w:basedOn w:val="632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www.ibs-training.ru" TargetMode="External"/><Relationship Id="rId10" Type="http://schemas.openxmlformats.org/officeDocument/2006/relationships/hyperlink" Target="http://www.ibs-training.ru" TargetMode="External"/><Relationship Id="rId11" Type="http://schemas.openxmlformats.org/officeDocument/2006/relationships/hyperlink" Target="http://www.ibs-training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Bulatova, Elina (DXC Luxoft)</dc:creator>
  <cp:keywords/>
  <dc:description/>
  <cp:lastModifiedBy>Егор Попов</cp:lastModifiedBy>
  <cp:revision>9</cp:revision>
  <dcterms:created xsi:type="dcterms:W3CDTF">2024-03-25T14:07:00Z</dcterms:created>
  <dcterms:modified xsi:type="dcterms:W3CDTF">2025-05-16T12:47:50Z</dcterms:modified>
</cp:coreProperties>
</file>